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C91A" w14:textId="6C0B2AAA" w:rsidR="0002490A" w:rsidRPr="0002490A" w:rsidRDefault="00C90538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 </w:t>
      </w: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72807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129DB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189ECD04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D733D2">
        <w:rPr>
          <w:rFonts w:eastAsia="Arial" w:cs="Times New Roman"/>
          <w:bCs/>
          <w:color w:val="000000"/>
          <w:sz w:val="22"/>
          <w:szCs w:val="22"/>
        </w:rPr>
        <w:t>zgłoszone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C1F4" w14:textId="77777777" w:rsidR="00584729" w:rsidRDefault="00584729" w:rsidP="0002490A">
      <w:pPr>
        <w:spacing w:line="240" w:lineRule="auto"/>
      </w:pPr>
      <w:r>
        <w:separator/>
      </w:r>
    </w:p>
  </w:endnote>
  <w:endnote w:type="continuationSeparator" w:id="0">
    <w:p w14:paraId="59B3E5BD" w14:textId="77777777" w:rsidR="00584729" w:rsidRDefault="00584729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7F45" w14:textId="77777777" w:rsidR="00584729" w:rsidRDefault="00584729" w:rsidP="0002490A">
      <w:pPr>
        <w:spacing w:line="240" w:lineRule="auto"/>
      </w:pPr>
      <w:r>
        <w:separator/>
      </w:r>
    </w:p>
  </w:footnote>
  <w:footnote w:type="continuationSeparator" w:id="0">
    <w:p w14:paraId="2894E55C" w14:textId="77777777" w:rsidR="00584729" w:rsidRDefault="00584729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4DC0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729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665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90538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33D2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0941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D73BE5F0-A1B0-4297-9DE3-E7C3DE86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3151</Words>
  <Characters>18912</Characters>
  <Application>Microsoft Office Word</Application>
  <DocSecurity>0</DocSecurity>
  <Lines>157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OŚWIADCZENIE WNIOSKODAWCY</vt:lpstr>
      <vt:lpstr>O PODATKU DOCHODOWYM OD OSÓB FIZYCZNYCH</vt:lpstr>
      <vt:lpstr>CZĘŚĆ IV</vt:lpstr>
      <vt:lpstr/>
      <vt:lpstr>OŚWIADCZENIE WNIOSKODAWCY</vt:lpstr>
    </vt:vector>
  </TitlesOfParts>
  <Company>HP</Company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Ewelina</cp:lastModifiedBy>
  <cp:revision>4</cp:revision>
  <cp:lastPrinted>2022-02-16T11:27:00Z</cp:lastPrinted>
  <dcterms:created xsi:type="dcterms:W3CDTF">2022-02-16T10:23:00Z</dcterms:created>
  <dcterms:modified xsi:type="dcterms:W3CDTF">2022-02-16T11:51:00Z</dcterms:modified>
</cp:coreProperties>
</file>